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46969903" w:rsidR="00D46F33" w:rsidRPr="00CE6F59" w:rsidRDefault="00CE44FD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Gdynia dnia </w:t>
      </w:r>
      <w:r w:rsidR="002F31D2">
        <w:rPr>
          <w:rFonts w:ascii="Times New Roman" w:hAnsi="Times New Roman" w:cs="Times New Roman"/>
          <w:color w:val="000000" w:themeColor="text1"/>
          <w:sz w:val="24"/>
          <w:szCs w:val="24"/>
        </w:rPr>
        <w:t>20.10.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2A5DBAB0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9353634"/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F3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/U</w:t>
      </w:r>
      <w:bookmarkStart w:id="1" w:name="_Hlk59352938"/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G-PMT/1104/7N/2019-KOR</w:t>
      </w:r>
      <w:bookmarkEnd w:id="0"/>
      <w:bookmarkEnd w:id="1"/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AAFF5" w14:textId="25E1BF17" w:rsidR="0078370C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59353815"/>
      <w:r>
        <w:rPr>
          <w:rFonts w:ascii="Times New Roman" w:hAnsi="Times New Roman" w:cs="Times New Roman"/>
          <w:color w:val="000000" w:themeColor="text1"/>
          <w:sz w:val="24"/>
          <w:szCs w:val="24"/>
        </w:rPr>
        <w:t>HARMONY H2O sp. z o.o.</w:t>
      </w:r>
    </w:p>
    <w:p w14:paraId="606C986A" w14:textId="292E5B3A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Kazimierza Tetmajera 58A</w:t>
      </w:r>
    </w:p>
    <w:p w14:paraId="726E792A" w14:textId="0652B937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81-406 Gdynia</w:t>
      </w:r>
    </w:p>
    <w:p w14:paraId="2E9820D7" w14:textId="3C1900EB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5862320975</w:t>
      </w:r>
    </w:p>
    <w:bookmarkEnd w:id="2"/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34E062CA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5936088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2F31D2">
        <w:rPr>
          <w:rFonts w:ascii="Times New Roman" w:hAnsi="Times New Roman" w:cs="Times New Roman"/>
          <w:color w:val="000000" w:themeColor="text1"/>
          <w:sz w:val="24"/>
          <w:szCs w:val="24"/>
        </w:rPr>
        <w:t>usługa doradcza w zakresie wzornictwa opakowań i dostosowania ich do wymagań rynku koreańskiego.</w:t>
      </w:r>
    </w:p>
    <w:bookmarkEnd w:id="3"/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3D8E7560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 xml:space="preserve">umowy </w:t>
      </w:r>
      <w:r w:rsidR="00CE44FD" w:rsidRPr="00CE44FD">
        <w:rPr>
          <w:b/>
          <w:bCs/>
          <w:color w:val="000000" w:themeColor="text1"/>
        </w:rPr>
        <w:t>U</w:t>
      </w:r>
      <w:r w:rsidR="00CE44FD" w:rsidRPr="00CE44FD">
        <w:rPr>
          <w:b/>
          <w:color w:val="000000" w:themeColor="text1"/>
        </w:rPr>
        <w:t>G-PMT/1104/7N/2019-KOR</w:t>
      </w:r>
      <w:r w:rsidR="00CE44FD">
        <w:rPr>
          <w:b/>
          <w:color w:val="000000" w:themeColor="text1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0138CD36" w14:textId="73AFCCAE" w:rsidR="00F459A0" w:rsidRDefault="00F82B02" w:rsidP="002F31D2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Zamówienie dotyczy </w:t>
      </w:r>
      <w:r w:rsidR="002F31D2">
        <w:rPr>
          <w:color w:val="000000" w:themeColor="text1"/>
        </w:rPr>
        <w:t>wykonania usługi doradczej w zakresie wzornictwa opakowań w tym:</w:t>
      </w:r>
    </w:p>
    <w:p w14:paraId="3A4C175D" w14:textId="3139A7C5" w:rsidR="002F31D2" w:rsidRDefault="002F31D2" w:rsidP="002F31D2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Przygotowania informacji merytorycznych dotyczących wymagań rynku koreańskiego w zakresie obowiązkowego znakowania produktów spożywczych </w:t>
      </w:r>
    </w:p>
    <w:p w14:paraId="0BE5EF0F" w14:textId="1E06EB5E" w:rsidR="002F31D2" w:rsidRPr="002F31D2" w:rsidRDefault="002F31D2" w:rsidP="002F31D2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Wykonania projektu graficznego trzech etykiet produktowych na produkty alkoholowe ( wino gronowe) spełniające wymagania dotyczące znakowania produktów na rynku koreańskim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485832B7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F459A0">
              <w:t>usługę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5116C20B" w:rsidR="00D46F33" w:rsidRPr="00CE6F59" w:rsidRDefault="008E15C1" w:rsidP="003C75E3">
      <w:pPr>
        <w:pStyle w:val="Normalny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F4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usługę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7E0673B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4B1B6409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</w:p>
    <w:p w14:paraId="0BCBCE4D" w14:textId="574B1D9F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4F01C9C8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77777777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1ED92999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2F31D2">
        <w:rPr>
          <w:rFonts w:ascii="Times New Roman" w:hAnsi="Times New Roman" w:cs="Times New Roman"/>
          <w:color w:val="000000" w:themeColor="text1"/>
          <w:sz w:val="24"/>
          <w:szCs w:val="24"/>
        </w:rPr>
        <w:t>30.03.2021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6ECD0734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B14288" w:rsidRPr="00B14288">
          <w:rPr>
            <w:rStyle w:val="Hipercze"/>
            <w:rFonts w:ascii="Times New Roman" w:hAnsi="Times New Roman"/>
            <w:sz w:val="24"/>
            <w:szCs w:val="24"/>
          </w:rPr>
          <w:t>info@harmonyh2o.com</w:t>
        </w:r>
      </w:hyperlink>
      <w:r w:rsidR="00B14288" w:rsidRP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2F31D2">
        <w:rPr>
          <w:rFonts w:ascii="Times New Roman" w:hAnsi="Times New Roman" w:cs="Times New Roman"/>
          <w:color w:val="000000" w:themeColor="text1"/>
          <w:sz w:val="24"/>
          <w:szCs w:val="24"/>
        </w:rPr>
        <w:t>20.11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6C7B5AFE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Dawid </w:t>
      </w:r>
      <w:proofErr w:type="spellStart"/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Kleinschmidt</w:t>
      </w:r>
      <w:proofErr w:type="spellEnd"/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Prezes Zarządu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mail: </w:t>
      </w:r>
      <w:hyperlink r:id="rId8" w:history="1">
        <w:r w:rsidR="00B14288" w:rsidRPr="00B14288">
          <w:rPr>
            <w:rStyle w:val="Hipercze"/>
            <w:rFonts w:ascii="Times New Roman" w:hAnsi="Times New Roman"/>
            <w:sz w:val="24"/>
            <w:szCs w:val="24"/>
          </w:rPr>
          <w:t>info@harmonyh2o.com</w:t>
        </w:r>
      </w:hyperlink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3C75E3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3C75E3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3C75E3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 sobie prawo do udzielenia wybranemu w wyniku przeprowadzonej procedury wyboru Wykonawcy zamówienia uzupełniającego w wysokości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3C75E3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3C75E3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1D13D1FC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bookmarkStart w:id="4" w:name="_Hlk59353880"/>
      <w:r w:rsidR="00B14288" w:rsidRPr="00B14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F3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14288" w:rsidRPr="00B14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/UG-PMT/1104/7N/2019-KOR</w:t>
      </w:r>
      <w:bookmarkEnd w:id="4"/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37E0C333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67619B13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HARMONY H2O sp. z o.o.</w:t>
      </w:r>
    </w:p>
    <w:p w14:paraId="26870EC8" w14:textId="274E4B6D" w:rsidR="00B14288" w:rsidRDefault="00531AA3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l. Kazimierza Tetmajera 58A</w:t>
      </w:r>
    </w:p>
    <w:p w14:paraId="264ED132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81-406 Gdynia</w:t>
      </w:r>
    </w:p>
    <w:p w14:paraId="38BC2A08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5862320975</w:t>
      </w:r>
    </w:p>
    <w:p w14:paraId="251FA0ED" w14:textId="25A53798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481B0C33" w14:textId="1702428B" w:rsidR="00FE529E" w:rsidRPr="008B0E3A" w:rsidRDefault="00D46F33" w:rsidP="00B14288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5" w:name="_Hlk58335218"/>
    </w:p>
    <w:bookmarkEnd w:id="5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9891098" w14:textId="0BB8FC20" w:rsidR="00F459A0" w:rsidRPr="00F459A0" w:rsidRDefault="00D46F33" w:rsidP="00F459A0">
      <w:pPr>
        <w:pStyle w:val="Normalny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2F31D2">
        <w:rPr>
          <w:rFonts w:ascii="Times New Roman" w:hAnsi="Times New Roman" w:cs="Times New Roman"/>
          <w:color w:val="000000" w:themeColor="text1"/>
          <w:sz w:val="24"/>
          <w:szCs w:val="24"/>
        </w:rPr>
        <w:t>20.10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</w:p>
    <w:p w14:paraId="03A873FF" w14:textId="24F48D19" w:rsidR="00D46F33" w:rsidRPr="002F31D2" w:rsidRDefault="002F31D2" w:rsidP="00CA796C">
      <w:pPr>
        <w:pStyle w:val="Normalny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3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Wykonanie usługi doradczej </w:t>
      </w:r>
      <w:r w:rsidRPr="002F3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zakresie wzornictwa opakowań i dostosowania ich do wymagań rynku koreańskiego.</w:t>
      </w:r>
    </w:p>
    <w:p w14:paraId="7076A220" w14:textId="3E4A56BC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2F31D2">
        <w:rPr>
          <w:color w:val="000000" w:themeColor="text1"/>
        </w:rPr>
        <w:t>PMT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B14288" w:rsidRPr="00B14288">
        <w:rPr>
          <w:b/>
          <w:color w:val="000000" w:themeColor="text1"/>
        </w:rPr>
        <w:t xml:space="preserve">UG-PMT/1104/7N/2019-KOR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354C2D0A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F459A0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8E7C57A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F459A0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5F35A00E" w14:textId="77777777" w:rsidR="003906C4" w:rsidRPr="003906C4" w:rsidRDefault="003906C4" w:rsidP="003906C4">
            <w:pPr>
              <w:pStyle w:val="Normalny1"/>
              <w:jc w:val="center"/>
              <w:rPr>
                <w:b/>
                <w:color w:val="000000" w:themeColor="text1"/>
              </w:rPr>
            </w:pPr>
            <w:r w:rsidRPr="003906C4">
              <w:rPr>
                <w:b/>
                <w:color w:val="000000" w:themeColor="text1"/>
              </w:rPr>
              <w:t>Przedmiotem zamówienia jest usługa doradcza w zakresie wzornictwa opakowań i dostosowania ich do wymagań rynku koreańskiego.</w:t>
            </w:r>
          </w:p>
          <w:p w14:paraId="51CB9868" w14:textId="28D3EE82" w:rsidR="00DD4BEB" w:rsidRPr="00CB10E9" w:rsidRDefault="00DD4BEB" w:rsidP="003906C4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07221BF0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531AA3" w:rsidRPr="00531AA3">
        <w:rPr>
          <w:b/>
          <w:lang w:eastAsia="ar-SA"/>
        </w:rPr>
        <w:t>0</w:t>
      </w:r>
      <w:r w:rsidR="003906C4">
        <w:rPr>
          <w:b/>
          <w:lang w:eastAsia="ar-SA"/>
        </w:rPr>
        <w:t>4</w:t>
      </w:r>
      <w:r w:rsidR="00531AA3" w:rsidRPr="00531AA3">
        <w:rPr>
          <w:b/>
          <w:lang w:eastAsia="ar-SA"/>
        </w:rPr>
        <w:t>/UG-PMT/1104/7N/2019-KOR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23E867DC" w:rsidR="008B0E3A" w:rsidRPr="008B0E3A" w:rsidRDefault="008B0E3A" w:rsidP="003C75E3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="00531AA3">
        <w:rPr>
          <w:lang w:eastAsia="ar-SA"/>
        </w:rPr>
        <w:t xml:space="preserve"> </w:t>
      </w:r>
      <w:r w:rsidR="00531AA3" w:rsidRPr="00531AA3">
        <w:rPr>
          <w:b/>
          <w:lang w:eastAsia="ar-SA"/>
        </w:rPr>
        <w:t>0</w:t>
      </w:r>
      <w:r w:rsidR="003906C4">
        <w:rPr>
          <w:b/>
          <w:lang w:eastAsia="ar-SA"/>
        </w:rPr>
        <w:t>4</w:t>
      </w:r>
      <w:r w:rsidR="00531AA3" w:rsidRPr="00531AA3">
        <w:rPr>
          <w:b/>
          <w:lang w:eastAsia="ar-SA"/>
        </w:rPr>
        <w:t>/UG-PMT/1104/7N/2019-KOR</w:t>
      </w:r>
      <w:r w:rsidRPr="008B0E3A">
        <w:rPr>
          <w:lang w:eastAsia="ar-SA"/>
        </w:rPr>
        <w:t xml:space="preserve"> oraz nie wnosi żadnych zastrzeżeń i uwag w tym zakresie. </w:t>
      </w:r>
    </w:p>
    <w:p w14:paraId="5DFB071D" w14:textId="77777777" w:rsidR="008B0E3A" w:rsidRPr="008B0E3A" w:rsidRDefault="008B0E3A" w:rsidP="003C75E3">
      <w:pPr>
        <w:numPr>
          <w:ilvl w:val="0"/>
          <w:numId w:val="8"/>
        </w:numPr>
        <w:suppressAutoHyphens/>
        <w:jc w:val="both"/>
        <w:rPr>
          <w:lang w:eastAsia="ar-SA"/>
        </w:rPr>
      </w:pPr>
      <w:bookmarkStart w:id="6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3C75E3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3C75E3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6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3C75E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3C75E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3C75E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FC519" w14:textId="77777777" w:rsidR="00160475" w:rsidRDefault="00160475">
      <w:r>
        <w:separator/>
      </w:r>
    </w:p>
  </w:endnote>
  <w:endnote w:type="continuationSeparator" w:id="0">
    <w:p w14:paraId="5FAAFCAF" w14:textId="77777777" w:rsidR="00160475" w:rsidRDefault="0016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14614" w14:textId="77777777" w:rsidR="00160475" w:rsidRDefault="00160475">
      <w:r>
        <w:separator/>
      </w:r>
    </w:p>
  </w:footnote>
  <w:footnote w:type="continuationSeparator" w:id="0">
    <w:p w14:paraId="39707283" w14:textId="77777777" w:rsidR="00160475" w:rsidRDefault="0016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919A3"/>
    <w:multiLevelType w:val="hybridMultilevel"/>
    <w:tmpl w:val="9D484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6" w15:restartNumberingAfterBreak="0">
    <w:nsid w:val="524D0D3A"/>
    <w:multiLevelType w:val="hybridMultilevel"/>
    <w:tmpl w:val="A382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0475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2F31D2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06C4"/>
    <w:rsid w:val="003951E9"/>
    <w:rsid w:val="003C75E3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31AA3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1C2B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4288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44FD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459A0"/>
    <w:rsid w:val="00F50C32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rmonyh2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harmonyh2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2</cp:revision>
  <cp:lastPrinted>2017-08-22T20:48:00Z</cp:lastPrinted>
  <dcterms:created xsi:type="dcterms:W3CDTF">2021-03-26T11:45:00Z</dcterms:created>
  <dcterms:modified xsi:type="dcterms:W3CDTF">2021-03-26T11:45:00Z</dcterms:modified>
</cp:coreProperties>
</file>